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东莞市电力行业协会电缆故障定位技能</w:t>
      </w:r>
    </w:p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培训班报名回执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268"/>
        <w:gridCol w:w="911"/>
        <w:gridCol w:w="1414"/>
        <w:gridCol w:w="164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17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单位联系人及联系电话</w:t>
            </w:r>
          </w:p>
        </w:tc>
        <w:tc>
          <w:tcPr>
            <w:tcW w:w="282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是否本会会员单位</w:t>
            </w:r>
          </w:p>
        </w:tc>
        <w:tc>
          <w:tcPr>
            <w:tcW w:w="317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828" w:type="dxa"/>
            <w:gridSpan w:val="2"/>
            <w:tcBorders>
              <w:left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培训项目名称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报名人姓名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报名人联系方式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收费标准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开展日期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例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FF0000"/>
                <w:sz w:val="22"/>
                <w:highlight w:val="none"/>
              </w:rPr>
            </w:pPr>
            <w:r>
              <w:rPr>
                <w:rFonts w:hint="eastAsia" w:ascii="仿宋_GB2312" w:hAnsi="宋体" w:cs="宋体"/>
                <w:color w:val="FF0000"/>
                <w:sz w:val="22"/>
                <w:highlight w:val="none"/>
              </w:rPr>
              <w:t>2019年配网10kV电缆故障定位技能实操培训班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李x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color w:val="FF0000"/>
                <w:highlight w:val="none"/>
              </w:rPr>
            </w:pPr>
            <w:r>
              <w:rPr>
                <w:rFonts w:hint="eastAsia"/>
                <w:color w:val="FF0000"/>
                <w:highlight w:val="none"/>
              </w:rPr>
              <w:t>135xxx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FF0000"/>
                <w:sz w:val="22"/>
                <w:highlight w:val="none"/>
              </w:rPr>
            </w:pPr>
            <w:r>
              <w:rPr>
                <w:rFonts w:hint="eastAsia" w:ascii="仿宋_GB2312" w:hAnsi="宋体" w:cs="宋体"/>
                <w:color w:val="FF0000"/>
                <w:sz w:val="22"/>
                <w:highlight w:val="none"/>
              </w:rPr>
              <w:t>会员单位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color w:val="FF0000"/>
                <w:sz w:val="22"/>
                <w:highlight w:val="none"/>
              </w:rPr>
            </w:pPr>
            <w:r>
              <w:rPr>
                <w:rFonts w:hint="eastAsia" w:ascii="仿宋_GB2312" w:hAnsi="宋体" w:cs="宋体"/>
                <w:color w:val="FF0000"/>
                <w:sz w:val="22"/>
                <w:highlight w:val="none"/>
              </w:rPr>
              <w:t>200元/人；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FF0000"/>
                <w:sz w:val="22"/>
                <w:highlight w:val="none"/>
              </w:rPr>
            </w:pPr>
            <w:r>
              <w:rPr>
                <w:rFonts w:hint="eastAsia" w:ascii="仿宋_GB2312" w:hAnsi="宋体" w:cs="宋体"/>
                <w:color w:val="FF0000"/>
                <w:sz w:val="22"/>
                <w:highlight w:val="none"/>
              </w:rPr>
              <w:t>非会员单位300元/人；</w:t>
            </w: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FF0000"/>
                <w:sz w:val="22"/>
                <w:highlight w:val="none"/>
              </w:rPr>
            </w:pPr>
            <w:r>
              <w:rPr>
                <w:rFonts w:hint="eastAsia" w:ascii="仿宋_GB2312" w:hAnsi="宋体" w:cs="宋体"/>
                <w:color w:val="FF0000"/>
                <w:sz w:val="22"/>
                <w:highlight w:val="none"/>
              </w:rPr>
              <w:t>6月</w:t>
            </w:r>
          </w:p>
          <w:p>
            <w:pPr>
              <w:widowControl/>
              <w:jc w:val="center"/>
              <w:rPr>
                <w:rFonts w:ascii="仿宋_GB2312" w:hAnsi="宋体" w:cs="宋体"/>
                <w:color w:val="FF0000"/>
                <w:sz w:val="22"/>
                <w:highlight w:val="none"/>
              </w:rPr>
            </w:pPr>
            <w:r>
              <w:rPr>
                <w:rFonts w:hint="eastAsia" w:ascii="仿宋_GB2312" w:hAnsi="宋体" w:cs="宋体"/>
                <w:color w:val="FF0000"/>
                <w:sz w:val="22"/>
                <w:highlight w:val="none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FF0000"/>
                <w:sz w:val="22"/>
                <w:highlight w:val="yellow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FF0000"/>
                <w:sz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FF0000"/>
                <w:sz w:val="22"/>
                <w:highlight w:val="yellow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FF0000"/>
                <w:sz w:val="22"/>
                <w:highlight w:val="yellow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FF0000"/>
                <w:sz w:val="22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911" w:type="dxa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644" w:type="dxa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</w:pPr>
      <w:r>
        <w:br w:type="page"/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如涉及报名费用的，请填写如下开票信息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汇款地址</w:t>
            </w:r>
          </w:p>
        </w:tc>
        <w:tc>
          <w:tcPr>
            <w:tcW w:w="6571" w:type="dxa"/>
          </w:tcPr>
          <w:p>
            <w:pPr>
              <w:rPr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开户名称：</w:t>
            </w:r>
            <w:r>
              <w:rPr>
                <w:rFonts w:hint="eastAsia"/>
                <w:sz w:val="26"/>
                <w:szCs w:val="26"/>
              </w:rPr>
              <w:t>东莞莞能绿色能源服务有限公司</w:t>
            </w:r>
          </w:p>
          <w:p>
            <w:pPr>
              <w:rPr>
                <w:rFonts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开户银行：中国工商银行股份有限公司东莞城区支行</w:t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账号：    2010008119100024966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开票企业名称</w:t>
            </w:r>
          </w:p>
        </w:tc>
        <w:tc>
          <w:tcPr>
            <w:tcW w:w="657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税号登记号码</w:t>
            </w:r>
          </w:p>
        </w:tc>
        <w:tc>
          <w:tcPr>
            <w:tcW w:w="657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657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地址及联系电话</w:t>
            </w:r>
          </w:p>
        </w:tc>
        <w:tc>
          <w:tcPr>
            <w:tcW w:w="657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开票项目</w:t>
            </w:r>
          </w:p>
        </w:tc>
        <w:tc>
          <w:tcPr>
            <w:tcW w:w="657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开票类别</w:t>
            </w:r>
          </w:p>
        </w:tc>
        <w:tc>
          <w:tcPr>
            <w:tcW w:w="657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增值税普通发票（电子发票）--电子邮箱：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增值税普通发票（实体发票）--收件人及电话：</w:t>
            </w:r>
          </w:p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快递地址：                        </w:t>
            </w: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备注：</w:t>
      </w:r>
    </w:p>
    <w:p>
      <w:pPr>
        <w:rPr>
          <w:b/>
        </w:rPr>
      </w:pPr>
      <w:r>
        <w:rPr>
          <w:rFonts w:hint="eastAsia"/>
          <w:b/>
        </w:rPr>
        <w:t>①本报名回执请于6月1日前发</w:t>
      </w:r>
      <w:r>
        <w:rPr>
          <w:rFonts w:hint="eastAsia"/>
          <w:b/>
          <w:lang w:eastAsia="zh-CN"/>
        </w:rPr>
        <w:t>至</w:t>
      </w:r>
      <w:r>
        <w:rPr>
          <w:rFonts w:hint="eastAsia"/>
          <w:b/>
        </w:rPr>
        <w:t>PXKS</w:t>
      </w:r>
      <w:r>
        <w:rPr>
          <w:b/>
        </w:rPr>
        <w:t>@DGDLHX.CN</w:t>
      </w:r>
      <w:r>
        <w:rPr>
          <w:rFonts w:hint="eastAsia"/>
          <w:b/>
        </w:rPr>
        <w:t xml:space="preserve"> 邮箱。 </w:t>
      </w:r>
    </w:p>
    <w:p>
      <w:pPr>
        <w:ind w:left="211" w:hanging="211" w:hangingChars="100"/>
        <w:rPr>
          <w:b/>
        </w:rPr>
      </w:pPr>
      <w:r>
        <w:rPr>
          <w:rFonts w:hint="eastAsia"/>
          <w:b/>
        </w:rPr>
        <w:t>②报名成功后本会将以电话或短信形式通知已提交报名的</w:t>
      </w:r>
      <w:r>
        <w:rPr>
          <w:rFonts w:hint="eastAsia"/>
          <w:b/>
          <w:lang w:eastAsia="zh-CN"/>
        </w:rPr>
        <w:t>单位</w:t>
      </w:r>
      <w:r>
        <w:rPr>
          <w:rFonts w:hint="eastAsia"/>
          <w:b/>
        </w:rPr>
        <w:t>联系人进行报名确认，请各报名人员在收到报名确认后才进行报名缴费。</w:t>
      </w:r>
    </w:p>
    <w:p>
      <w:pPr>
        <w:rPr>
          <w:b/>
        </w:rPr>
      </w:pPr>
      <w:r>
        <w:rPr>
          <w:rFonts w:hint="eastAsia"/>
          <w:b/>
        </w:rPr>
        <w:t>③上述培训班</w:t>
      </w:r>
      <w:r>
        <w:rPr>
          <w:rFonts w:hint="eastAsia"/>
          <w:b/>
          <w:lang w:eastAsia="zh-CN"/>
        </w:rPr>
        <w:t>若</w:t>
      </w:r>
      <w:r>
        <w:rPr>
          <w:rFonts w:hint="eastAsia"/>
          <w:b/>
        </w:rPr>
        <w:t>未有确切</w:t>
      </w:r>
      <w:r>
        <w:rPr>
          <w:rFonts w:hint="eastAsia"/>
          <w:b/>
          <w:lang w:eastAsia="zh-CN"/>
        </w:rPr>
        <w:t>开班</w:t>
      </w:r>
      <w:r>
        <w:rPr>
          <w:rFonts w:hint="eastAsia"/>
          <w:b/>
        </w:rPr>
        <w:t>日期的，本会将在报名确认时公布培训日期和报名名单。</w:t>
      </w:r>
    </w:p>
    <w:p>
      <w:pPr>
        <w:rPr>
          <w:b/>
        </w:rPr>
      </w:pPr>
      <w:r>
        <w:rPr>
          <w:rFonts w:hint="eastAsia"/>
          <w:b/>
        </w:rPr>
        <w:t>④如已提交报名但未收到确认通知的，请在开班前三天联系本会工作人员进行咨询确认。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440</Words>
  <Characters>489</Characters>
  <Paragraphs>140</Paragraphs>
  <TotalTime>65</TotalTime>
  <ScaleCrop>false</ScaleCrop>
  <LinksUpToDate>false</LinksUpToDate>
  <CharactersWithSpaces>521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2019-04-03T04:37:00Z</dcterms:created>
  <dc:creator>USER-</dc:creator>
  <cp:lastModifiedBy>谭铁丹</cp:lastModifiedBy>
  <dcterms:modified xsi:type="dcterms:W3CDTF">2019-05-23T08:49:14Z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